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drawing>
          <wp:inline distT="0" distB="0" distL="0" distR="0">
            <wp:extent cx="438150" cy="3714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ascii="Consolas" w:cs="Consolas" w:eastAsia="Consolas" w:hAnsi="Consolas"/>
          <w:b/>
          <w:bCs/>
          <w:caps/>
          <w:color w:val="9A7B2F"/>
          <w:spacing w:val="20"/>
          <w:sz w:val="18"/>
          <w:szCs w:val="18"/>
        </w:rPr>
        <w:t xml:space="preserve">Resumen impreso — 8 de septiembre</w:t>
      </w:r>
    </w:p>
    <w:p>
      <w:pPr>
        <w:spacing w:after="80" w:before="100"/>
      </w:pPr>
      <w:r>
        <w:rPr>
          <w:rFonts w:ascii="Playfair Display" w:cs="Playfair Display" w:eastAsia="Playfair Display" w:hAnsi="Playfair Display"/>
          <w:b/>
          <w:bCs/>
          <w:color w:val="0D0B09"/>
          <w:sz w:val="48"/>
          <w:szCs w:val="48"/>
        </w:rPr>
        <w:t xml:space="preserve">Galearte × IMPULSO</w:t>
      </w:r>
    </w:p>
    <w:p>
      <w:pPr>
        <w:spacing w:after="300"/>
      </w:pPr>
      <w:r>
        <w:rPr>
          <w:rFonts w:ascii="EB Garamond" w:cs="EB Garamond" w:eastAsia="EB Garamond" w:hAnsi="EB Garamond"/>
          <w:i/>
          <w:iCs/>
          <w:color w:val="3A3530"/>
          <w:sz w:val="24"/>
          <w:szCs w:val="24"/>
        </w:rPr>
        <w:t xml:space="preserve">La propuesta completa se envía por WhatsApp al terminar la plática. Esto es lo esencial para la conversación.</w:t>
      </w:r>
    </w:p>
    <w:p>
      <w:pPr>
        <w:pStyle w:val="Heading1"/>
        <w:keepNext/>
        <w:pBdr>
          <w:bottom w:val="single" w:color="9A7B2F" w:sz="8" w:space="4"/>
        </w:pBdr>
        <w:spacing w:after="110" w:before="260"/>
      </w:pPr>
      <w:r>
        <w:rPr>
          <w:rFonts w:ascii="Playfair Display" w:cs="Playfair Display" w:eastAsia="Playfair Display" w:hAnsi="Playfair Display"/>
          <w:b/>
          <w:bCs/>
          <w:color w:val="0D0B09"/>
          <w:sz w:val="26"/>
          <w:szCs w:val="26"/>
        </w:rPr>
        <w:t xml:space="preserve">Quiénes somos, en una línea</w:t>
      </w:r>
    </w:p>
    <w:p>
      <w:pPr>
        <w:spacing w:after="80" w:line="270"/>
      </w:pPr>
      <w:r>
        <w:rPr>
          <w:rFonts w:ascii="EB Garamond" w:cs="EB Garamond" w:eastAsia="EB Garamond" w:hAnsi="EB Garamond"/>
          <w:i w:val="false"/>
          <w:iCs w:val="false"/>
          <w:color w:val="3A3530"/>
          <w:sz w:val="22"/>
          <w:szCs w:val="22"/>
        </w:rPr>
        <w:t xml:space="preserve">No vendemos tecnología porque impresiona. Cotizamos exactamente lo que cuesta construirla, mostramos qué no incluye, y no cerramos precio hasta conocer tu operación real.</w:t>
      </w:r>
    </w:p>
    <w:p>
      <w:pPr>
        <w:pStyle w:val="Heading1"/>
        <w:keepNext/>
        <w:pBdr>
          <w:bottom w:val="single" w:color="9A7B2F" w:sz="8" w:space="4"/>
        </w:pBdr>
        <w:spacing w:after="110" w:before="260"/>
      </w:pPr>
      <w:r>
        <w:rPr>
          <w:rFonts w:ascii="Playfair Display" w:cs="Playfair Display" w:eastAsia="Playfair Display" w:hAnsi="Playfair Display"/>
          <w:b/>
          <w:bCs/>
          <w:color w:val="0D0B09"/>
          <w:sz w:val="26"/>
          <w:szCs w:val="26"/>
        </w:rPr>
        <w:t xml:space="preserve">El problema, tal como lo entendimos</w:t>
      </w:r>
    </w:p>
    <w:p>
      <w:pPr>
        <w:spacing w:after="80" w:line="270"/>
      </w:pPr>
      <w:r>
        <w:rPr>
          <w:rFonts w:ascii="EB Garamond" w:cs="EB Garamond" w:eastAsia="EB Garamond" w:hAnsi="EB Garamond"/>
          <w:i w:val="false"/>
          <w:iCs w:val="false"/>
          <w:color w:val="3A3530"/>
          <w:sz w:val="22"/>
          <w:szCs w:val="22"/>
        </w:rPr>
        <w:t xml:space="preserve">Excel y el sistema contratado no coinciden siempre, obligan a capturar la misma información más de una vez, y eso reduce la visibilidad real del negocio. No sabemos todavía si es falta de software o falta de arquitectura de datos — por eso empezamos con discovery, no con una cotización cerrada.</w:t>
      </w:r>
    </w:p>
    <w:p>
      <w:pPr>
        <w:pStyle w:val="Heading1"/>
        <w:keepNext/>
        <w:pBdr>
          <w:bottom w:val="single" w:color="9A7B2F" w:sz="8" w:space="4"/>
        </w:pBdr>
        <w:spacing w:after="110" w:before="260"/>
      </w:pPr>
      <w:r>
        <w:rPr>
          <w:rFonts w:ascii="Playfair Display" w:cs="Playfair Display" w:eastAsia="Playfair Display" w:hAnsi="Playfair Display"/>
          <w:b/>
          <w:bCs/>
          <w:color w:val="0D0B09"/>
          <w:sz w:val="26"/>
          <w:szCs w:val="26"/>
        </w:rPr>
        <w:t xml:space="preserve">Cómo lo construimos</w:t>
      </w:r>
    </w:p>
    <w:p>
      <w:pPr>
        <w:pStyle w:val="ListParagraph"/>
        <w:numPr>
          <w:ilvl w:val="0"/>
          <w:numId w:val="2"/>
        </w:numPr>
        <w:spacing w:after="70" w:line="280"/>
      </w:pPr>
      <w:r>
        <w:rPr>
          <w:rFonts w:ascii="EB Garamond" w:cs="EB Garamond" w:eastAsia="EB Garamond" w:hAnsi="EB Garamond"/>
          <w:color w:val="3A3530"/>
          <w:sz w:val="22"/>
          <w:szCs w:val="22"/>
        </w:rPr>
        <w:t xml:space="preserve">Discovery — mapeo del proceso real, en sitio, en ambas sucursales.</w:t>
      </w:r>
    </w:p>
    <w:p>
      <w:pPr>
        <w:pStyle w:val="ListParagraph"/>
        <w:numPr>
          <w:ilvl w:val="0"/>
          <w:numId w:val="2"/>
        </w:numPr>
        <w:spacing w:after="70" w:line="280"/>
      </w:pPr>
      <w:r>
        <w:rPr>
          <w:rFonts w:ascii="EB Garamond" w:cs="EB Garamond" w:eastAsia="EB Garamond" w:hAnsi="EB Garamond"/>
          <w:color w:val="3A3530"/>
          <w:sz w:val="22"/>
          <w:szCs w:val="22"/>
        </w:rPr>
        <w:t xml:space="preserve">Piloto — 30 piezas representativas, para validar antes de tocar las 300.</w:t>
      </w:r>
    </w:p>
    <w:p>
      <w:pPr>
        <w:pStyle w:val="ListParagraph"/>
        <w:numPr>
          <w:ilvl w:val="0"/>
          <w:numId w:val="2"/>
        </w:numPr>
        <w:spacing w:after="70" w:line="280"/>
      </w:pPr>
      <w:r>
        <w:rPr>
          <w:rFonts w:ascii="EB Garamond" w:cs="EB Garamond" w:eastAsia="EB Garamond" w:hAnsi="EB Garamond"/>
          <w:color w:val="3A3530"/>
          <w:sz w:val="22"/>
          <w:szCs w:val="22"/>
        </w:rPr>
        <w:t xml:space="preserve">Validación → Rollout → Automatización → Inteligencia — solo si el piloto funciona.</w:t>
      </w:r>
    </w:p>
    <w:p>
      <w:pPr>
        <w:pStyle w:val="Heading1"/>
        <w:keepNext/>
        <w:pBdr>
          <w:bottom w:val="single" w:color="9A7B2F" w:sz="8" w:space="4"/>
        </w:pBdr>
        <w:spacing w:after="110" w:before="260"/>
      </w:pPr>
      <w:r>
        <w:rPr>
          <w:rFonts w:ascii="Playfair Display" w:cs="Playfair Display" w:eastAsia="Playfair Display" w:hAnsi="Playfair Display"/>
          <w:b/>
          <w:bCs/>
          <w:color w:val="0D0B09"/>
          <w:sz w:val="26"/>
          <w:szCs w:val="26"/>
        </w:rPr>
        <w:t xml:space="preserve">Qué esperar, con números reales</w:t>
      </w:r>
    </w:p>
    <w:p>
      <w:pPr>
        <w:spacing w:after="80" w:line="270"/>
      </w:pPr>
      <w:r>
        <w:rPr>
          <w:rFonts w:ascii="EB Garamond" w:cs="EB Garamond" w:eastAsia="EB Garamond" w:hAnsi="EB Garamond"/>
          <w:i w:val="false"/>
          <w:iCs w:val="false"/>
          <w:color w:val="3A3530"/>
          <w:sz w:val="22"/>
          <w:szCs w:val="22"/>
        </w:rPr>
        <w:t xml:space="preserve">Con pauta publicitaria, se necesitan ~30-50 leads/mes (Google Ads) antes de que decidir con datos tenga sentido — por eso la promoción exige mínimo 4 meses. El 70% de las transformaciones digitales fallan por adopción cultural, no por la tecnología (McKinsey) — por eso hay capacitación incluida desde el primer paquete.</w:t>
      </w:r>
    </w:p>
    <w:p>
      <w:pPr>
        <w:pStyle w:val="Heading1"/>
        <w:keepNext/>
        <w:pBdr>
          <w:bottom w:val="single" w:color="9A7B2F" w:sz="8" w:space="4"/>
        </w:pBdr>
        <w:spacing w:after="110" w:before="260"/>
      </w:pPr>
      <w:r>
        <w:rPr>
          <w:rFonts w:ascii="Playfair Display" w:cs="Playfair Display" w:eastAsia="Playfair Display" w:hAnsi="Playfair Display"/>
          <w:b/>
          <w:bCs/>
          <w:color w:val="0D0B09"/>
          <w:sz w:val="26"/>
          <w:szCs w:val="26"/>
        </w:rPr>
        <w:t xml:space="preserve">Inversión — versión resumida</w:t>
      </w:r>
    </w:p>
    <w:p>
      <w:pPr>
        <w:spacing w:after="90" w:line="260"/>
      </w:pPr>
      <w:r>
        <w:rPr>
          <w:rFonts w:ascii="Playfair Display" w:cs="Playfair Display" w:eastAsia="Playfair Display" w:hAnsi="Playfair Display"/>
          <w:b/>
          <w:bCs/>
          <w:color w:val="0D0B09"/>
          <w:sz w:val="22"/>
          <w:szCs w:val="22"/>
        </w:rPr>
        <w:t xml:space="preserve">Essential Pro  </w:t>
      </w:r>
      <w:r>
        <w:rPr>
          <w:rFonts w:ascii="Consolas" w:cs="Consolas" w:eastAsia="Consolas" w:hAnsi="Consolas"/>
          <w:color w:val="3A3530"/>
          <w:sz w:val="17"/>
          <w:szCs w:val="17"/>
        </w:rPr>
        <w:t xml:space="preserve">arranque promo $34,650 MXN (normal $49,500 MXN)  ·  mensual promo $3,360 MXN/mes (normal $4,800 MXN/mes)</w:t>
      </w:r>
    </w:p>
    <w:p>
      <w:pPr>
        <w:spacing w:after="90" w:line="260"/>
      </w:pPr>
      <w:r>
        <w:rPr>
          <w:rFonts w:ascii="Playfair Display" w:cs="Playfair Display" w:eastAsia="Playfair Display" w:hAnsi="Playfair Display"/>
          <w:b/>
          <w:bCs/>
          <w:color w:val="0D0B09"/>
          <w:sz w:val="22"/>
          <w:szCs w:val="22"/>
        </w:rPr>
        <w:t xml:space="preserve">Growth Plus  </w:t>
      </w:r>
      <w:r>
        <w:rPr>
          <w:rFonts w:ascii="Consolas" w:cs="Consolas" w:eastAsia="Consolas" w:hAnsi="Consolas"/>
          <w:color w:val="3A3530"/>
          <w:sz w:val="17"/>
          <w:szCs w:val="17"/>
        </w:rPr>
        <w:t xml:space="preserve">arranque promo $60,550 MXN (normal $86,500 MXN)  ·  mensual promo $9,100 MXN/mes (normal $13,000 MXN/mes)</w:t>
      </w:r>
    </w:p>
    <w:p>
      <w:pPr>
        <w:spacing w:after="90" w:line="260"/>
      </w:pPr>
      <w:r>
        <w:rPr>
          <w:rFonts w:ascii="Playfair Display" w:cs="Playfair Display" w:eastAsia="Playfair Display" w:hAnsi="Playfair Display"/>
          <w:b/>
          <w:bCs/>
          <w:color w:val="0D0B09"/>
          <w:sz w:val="22"/>
          <w:szCs w:val="22"/>
        </w:rPr>
        <w:t xml:space="preserve">Intelligence Max  </w:t>
      </w:r>
      <w:r>
        <w:rPr>
          <w:rFonts w:ascii="Consolas" w:cs="Consolas" w:eastAsia="Consolas" w:hAnsi="Consolas"/>
          <w:color w:val="3A3530"/>
          <w:sz w:val="17"/>
          <w:szCs w:val="17"/>
        </w:rPr>
        <w:t xml:space="preserve">arranque promo $88,550 MXN (normal $126,500 MXN)  ·  mensual promo $14,630 MXN/mes (normal $20,900 MXN/mes)</w:t>
      </w:r>
    </w:p>
    <w:p>
      <w:pPr>
        <w:spacing w:after="110" w:before="40"/>
      </w:pPr>
      <w:r>
        <w:rPr>
          <w:rFonts w:ascii="Consolas" w:cs="Consolas" w:eastAsia="Consolas" w:hAnsi="Consolas"/>
          <w:i/>
          <w:iCs/>
          <w:color w:val="8C8272"/>
          <w:sz w:val="16"/>
          <w:szCs w:val="16"/>
        </w:rPr>
        <w:t xml:space="preserve">Promoción vigente solo al firmar un paquete completo, antes del 1 de octubre de 2026, mínimo 4 meses de contrato. Fase 1 — Diagnóstico: $11,600 MXN (no incluido en la promoción). Detalle completo de incluye/no incluye y precios a la carta: en la propuesta completa.</w:t>
      </w:r>
    </w:p>
    <w:p>
      <w:pPr>
        <w:pStyle w:val="Heading1"/>
        <w:keepNext/>
        <w:pBdr>
          <w:bottom w:val="single" w:color="9A7B2F" w:sz="8" w:space="4"/>
        </w:pBdr>
        <w:spacing w:after="110" w:before="260"/>
      </w:pPr>
      <w:r>
        <w:rPr>
          <w:rFonts w:ascii="Playfair Display" w:cs="Playfair Display" w:eastAsia="Playfair Display" w:hAnsi="Playfair Display"/>
          <w:b/>
          <w:bCs/>
          <w:color w:val="0D0B09"/>
          <w:sz w:val="26"/>
          <w:szCs w:val="26"/>
        </w:rPr>
        <w:t xml:space="preserve">Próximos pasos si hay acuerdo hoy</w:t>
      </w:r>
    </w:p>
    <w:p>
      <w:pPr>
        <w:pStyle w:val="ListParagraph"/>
        <w:numPr>
          <w:ilvl w:val="0"/>
          <w:numId w:val="2"/>
        </w:numPr>
        <w:spacing w:after="70" w:line="280"/>
      </w:pPr>
      <w:r>
        <w:rPr>
          <w:rFonts w:ascii="EB Garamond" w:cs="EB Garamond" w:eastAsia="EB Garamond" w:hAnsi="EB Garamond"/>
          <w:color w:val="3A3530"/>
          <w:sz w:val="22"/>
          <w:szCs w:val="22"/>
        </w:rPr>
        <w:t xml:space="preserve">Confirmar alcance del discovery en sitio, ambas sucursales.</w:t>
      </w:r>
    </w:p>
    <w:p>
      <w:pPr>
        <w:pStyle w:val="ListParagraph"/>
        <w:numPr>
          <w:ilvl w:val="0"/>
          <w:numId w:val="2"/>
        </w:numPr>
        <w:spacing w:after="70" w:line="280"/>
      </w:pPr>
      <w:r>
        <w:rPr>
          <w:rFonts w:ascii="EB Garamond" w:cs="EB Garamond" w:eastAsia="EB Garamond" w:hAnsi="EB Garamond"/>
          <w:color w:val="3A3530"/>
          <w:sz w:val="22"/>
          <w:szCs w:val="22"/>
        </w:rPr>
        <w:t xml:space="preserve">Definir las 30 piezas del piloto.</w:t>
      </w:r>
    </w:p>
    <w:p>
      <w:pPr>
        <w:pStyle w:val="ListParagraph"/>
        <w:numPr>
          <w:ilvl w:val="0"/>
          <w:numId w:val="2"/>
        </w:numPr>
        <w:spacing w:after="70" w:line="280"/>
      </w:pPr>
      <w:r>
        <w:rPr>
          <w:rFonts w:ascii="EB Garamond" w:cs="EB Garamond" w:eastAsia="EB Garamond" w:hAnsi="EB Garamond"/>
          <w:color w:val="3A3530"/>
          <w:sz w:val="22"/>
          <w:szCs w:val="22"/>
        </w:rPr>
        <w:t xml:space="preserve">Acordar fecha de inicio y punto de contacto.</w:t>
      </w:r>
    </w:p>
    <w:p>
      <w:pPr>
        <w:pStyle w:val="ListParagraph"/>
        <w:numPr>
          <w:ilvl w:val="0"/>
          <w:numId w:val="2"/>
        </w:numPr>
        <w:spacing w:after="70" w:line="280"/>
      </w:pPr>
      <w:r>
        <w:rPr>
          <w:rFonts w:ascii="EB Garamond" w:cs="EB Garamond" w:eastAsia="EB Garamond" w:hAnsi="EB Garamond"/>
          <w:color w:val="3A3530"/>
          <w:sz w:val="22"/>
          <w:szCs w:val="22"/>
        </w:rPr>
        <w:t xml:space="preserve">Enviar propuesta completa y cotización cerrada por WhatsApp.</w:t>
      </w:r>
    </w:p>
    <w:sectPr>
      <w:headerReference w:type="default" r:id="rId7"/>
      <w:footerReference w:type="default" r:id="rId8"/>
      <w:pgSz w:w="12240" w:h="15840" w:orient="portrait"/>
      <w:pgMar w:top="1100" w:right="1200" w:bottom="11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onsolas" w:cs="Consolas" w:eastAsia="Consolas" w:hAnsi="Consolas"/>
        <w:color w:val="8C8272"/>
        <w:sz w:val="15"/>
        <w:szCs w:val="15"/>
      </w:rPr>
      <w:t xml:space="preserve">Página </w:t>
    </w:r>
    <w:r>
      <w:rPr>
        <w:rFonts w:ascii="Consolas" w:cs="Consolas" w:eastAsia="Consolas" w:hAnsi="Consolas"/>
        <w:color w:val="8C8272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0DACD" w:sz="4" w:space="4"/>
      </w:pBdr>
      <w:jc w:val="right"/>
    </w:pPr>
    <w:r>
      <w:rPr>
        <w:rFonts w:ascii="Consolas" w:cs="Consolas" w:eastAsia="Consolas" w:hAnsi="Consolas"/>
        <w:caps/>
        <w:color w:val="8C8272"/>
        <w:spacing w:val="15"/>
        <w:sz w:val="14"/>
        <w:szCs w:val="14"/>
      </w:rPr>
      <w:t xml:space="preserve">Galearte · Resumen para discovery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300" w:hanging="2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1e251a10d902c3bc77b6e83fe4395f7b38f88eb0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2026-09-02T01:15:49.710Z</dcterms:created>
  <dcterms:modified xsi:type="dcterms:W3CDTF">2026-09-02T01:15:49.710Z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